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A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«механика и математическое моделирование»</w:t>
      </w:r>
    </w:p>
    <w:p w:rsidR="003F7989" w:rsidRPr="00B66451" w:rsidRDefault="003B6B5A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</w:t>
      </w:r>
      <w:r w:rsidR="00AB549C">
        <w:rPr>
          <w:lang w:val="ru-RU"/>
        </w:rPr>
        <w:t>космос и механика</w:t>
      </w:r>
      <w:r>
        <w:rPr>
          <w:lang w:val="ru-RU"/>
        </w:rPr>
        <w:t>»</w:t>
      </w:r>
      <w:r>
        <w:rPr>
          <w:lang w:val="ru-RU"/>
        </w:rPr>
        <w:br/>
        <w:t>202</w:t>
      </w:r>
      <w:r w:rsidR="00DA187E">
        <w:rPr>
          <w:lang w:val="ru-RU"/>
        </w:rPr>
        <w:t>2</w:t>
      </w:r>
      <w:r w:rsidR="003F7989"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:rsidR="00664DB8" w:rsidRPr="00B66451" w:rsidRDefault="00664DB8" w:rsidP="003176C8">
      <w:pPr>
        <w:spacing w:before="0" w:after="0" w:line="240" w:lineRule="auto"/>
        <w:rPr>
          <w:b/>
          <w:lang w:val="ru-RU"/>
        </w:rPr>
      </w:pPr>
      <w:r w:rsidRPr="00B66451">
        <w:rPr>
          <w:b/>
          <w:lang w:val="ru-RU"/>
        </w:rPr>
        <w:t>Дополнительные главы математического анализа</w:t>
      </w:r>
    </w:p>
    <w:p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Неопределенный интеграл. Методы интегрирования. </w:t>
      </w:r>
      <w:r w:rsidR="00196464" w:rsidRPr="00196464">
        <w:rPr>
          <w:lang w:val="ru-RU"/>
        </w:rPr>
        <w:t>Криволинейные интегралы первого и второго рода.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Функции многих переменных. Экстремум. Условный экстремум. Метод множителей Лагранжа.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:rsidR="00A53290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Функциональные ряды. Сходимость, равномерная и абсолютная сходимость.</w:t>
      </w:r>
    </w:p>
    <w:p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Одномерное волновое уравнение. Формула Даламбера. Метод Фурье. </w:t>
      </w:r>
      <w:r w:rsidR="00196464" w:rsidRPr="00196464">
        <w:rPr>
          <w:lang w:val="ru-RU"/>
        </w:rPr>
        <w:t>Уравнение теплопроводности.</w:t>
      </w:r>
    </w:p>
    <w:p w:rsidR="00841043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Дифференцируемые функции комплексного переменного. Условия Коши-Римана. Ряды Тейлора.</w:t>
      </w:r>
    </w:p>
    <w:p w:rsidR="00A53290" w:rsidRPr="00196464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Ряды Лорана. Особые точки. Вычеты. Вычисление интегралов.</w:t>
      </w:r>
    </w:p>
    <w:p w:rsidR="00841043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Нормированные, банаховы, гильбертовы пространства.</w:t>
      </w:r>
    </w:p>
    <w:p w:rsidR="00A53290" w:rsidRPr="00196464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Линейные функционалы и линейные операторы в нормированных пространствах.</w:t>
      </w:r>
    </w:p>
    <w:p w:rsidR="00A53290" w:rsidRDefault="00A53290" w:rsidP="003176C8">
      <w:pPr>
        <w:spacing w:before="0" w:after="0" w:line="240" w:lineRule="auto"/>
        <w:rPr>
          <w:b/>
          <w:lang w:val="ru-RU"/>
        </w:rPr>
      </w:pPr>
    </w:p>
    <w:p w:rsidR="00AB549C" w:rsidRPr="006F15A8" w:rsidRDefault="00AB549C" w:rsidP="00AB549C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КА.Полетные операции</w:t>
      </w:r>
      <w:r>
        <w:rPr>
          <w:lang w:val="ru-RU"/>
        </w:rPr>
        <w:t>.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 w:rsidR="00340042"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 xml:space="preserve">. 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:rsidR="00BD03FB" w:rsidRPr="00566342" w:rsidRDefault="00AB549C" w:rsidP="006920C1">
      <w:pPr>
        <w:pStyle w:val="ac"/>
        <w:numPr>
          <w:ilvl w:val="0"/>
          <w:numId w:val="30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Состав служб, обеспечивающих управление полетом КА. Центр управления полетом КА. Станции слежения и система связи их с ЦУПом. Распределение функций между центральными звеньями системы управления полетом КА.</w:t>
      </w:r>
    </w:p>
    <w:p w:rsidR="00566342" w:rsidRDefault="00566342" w:rsidP="00566342">
      <w:pPr>
        <w:pStyle w:val="ac"/>
        <w:spacing w:before="0" w:after="0" w:line="240" w:lineRule="auto"/>
        <w:rPr>
          <w:lang w:val="ru-RU"/>
        </w:rPr>
      </w:pPr>
    </w:p>
    <w:p w:rsidR="00566342" w:rsidRDefault="00566342" w:rsidP="00566342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Космос и механика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Примеры двухфазных течений в природе и технике. Модель взаимопроникающих континуумов для запыленного газа.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Силы, действующие на частицу в потоке жидкости или газа. Формулы Стокса и Озеена для коэффициента сопротивления шара. Силы Архимеда, присое</w:t>
      </w:r>
      <w:r>
        <w:rPr>
          <w:lang w:val="ru-RU"/>
        </w:rPr>
        <w:t>диненных масс, Бассэ-Буссинеска</w:t>
      </w:r>
      <w:r>
        <w:t>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Модель «эффективного газа» для среды «газ-малоинерционные частицы». Эффективные значения чисел Маха, Рейнольдса, Прандтля, показателя адиабаты.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Уравнение неразрывности среды невзаимодействующих частиц в лагранжевых координатах. Полный лагранжев метод расчета концентрации дисперсной фазы в запыленном потоке.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Ударные волны в запыленном газе.  Волны «с полной дисперсией».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Ионизирующее излучение. Понятие о сечении элементарных процессов излучения и поглощения. Сечения фотоионизации и фоторекомбинации. Коэффициенты поглощения и излучения. Степень ионизации. Выражение для давления в частично ионизованном газе.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 xml:space="preserve">Вывод уравнения переноса излучения. Истинное поглощение и рассеяние. Коэффициенты излучения и поглощения. Приток энергии к среде за счет взаимодействия с излучением. </w:t>
      </w:r>
      <w:r w:rsidRPr="00AB549C">
        <w:rPr>
          <w:lang w:val="ru-RU"/>
        </w:rPr>
        <w:lastRenderedPageBreak/>
        <w:t>Классификация радиационных процессов. Связанно-связанные, связанно-свободные, свободно-свободные переходы.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Тепловая неустойчивость. Понятия об автоволнах.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Движение материальной точки в сопротивляющейся среде.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Движение твердого тела в вертикальной плоскости в среде с сопротивлением.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Силы и моменты, действующие на ЛА, имеющий ось симметрии. Уравнения пространственного движения летательного аппарата, имеющего ось симметрии.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Постановка контактных задач для деформируемых тел.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Задача Римана - Гильберта для полуплоскости.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Давление вертикального штампа при отсутствии сил трения.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Задача Герца.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Вертикальный удар симметричного абсолютно твердого тела по упругому полупространству.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 xml:space="preserve">Соотношения на поверхности сильного разрыва в идеальном газе. Адиабата Гюгонио. Теорема Цемплена для слабых скачков. </w:t>
      </w:r>
    </w:p>
    <w:p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Нормальный газ. Теорема Цемплена для скачков произвольной интенсивности в нормальном газе. Ударные волны.</w:t>
      </w:r>
    </w:p>
    <w:p w:rsidR="00566342" w:rsidRPr="00566342" w:rsidRDefault="00566342" w:rsidP="00161B17">
      <w:pPr>
        <w:pStyle w:val="ac"/>
        <w:numPr>
          <w:ilvl w:val="0"/>
          <w:numId w:val="32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Основы химической кинетики. Скорость химической реакции. Закон действующих масс. Прямая и обратная реакции, константа равновесия. Константа скорости реакции. Цепной механизм химического взаимодействия.</w:t>
      </w:r>
    </w:p>
    <w:p w:rsidR="00566342" w:rsidRPr="00566342" w:rsidRDefault="00566342" w:rsidP="00161B17">
      <w:pPr>
        <w:pStyle w:val="ac"/>
        <w:numPr>
          <w:ilvl w:val="0"/>
          <w:numId w:val="32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Модели детонационного горения, учитывающие структуру волны. Модель детонации Зельдовича-Неймана-Дёринга, модель Щёлкина, модель детонации Коробейникова-Левина.</w:t>
      </w:r>
    </w:p>
    <w:sectPr w:rsidR="00566342" w:rsidRPr="00566342" w:rsidSect="0082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E6" w:rsidRDefault="00C640E6" w:rsidP="00CF0C11">
      <w:pPr>
        <w:spacing w:before="0" w:after="0" w:line="240" w:lineRule="auto"/>
      </w:pPr>
      <w:r>
        <w:separator/>
      </w:r>
    </w:p>
  </w:endnote>
  <w:endnote w:type="continuationSeparator" w:id="1">
    <w:p w:rsidR="00C640E6" w:rsidRDefault="00C640E6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2" w:rsidRDefault="00340042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 w:rsidR="00340042">
      <w:rPr>
        <w:lang w:val="ru-RU"/>
      </w:rPr>
      <w:t xml:space="preserve"> 29</w:t>
    </w:r>
    <w:r w:rsidR="00DA187E">
      <w:rPr>
        <w:lang w:val="ru-RU"/>
      </w:rPr>
      <w:t xml:space="preserve"> </w:t>
    </w:r>
    <w:r w:rsidR="003B6B5A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>20</w:t>
    </w:r>
    <w:r w:rsidR="009A2AEB">
      <w:rPr>
        <w:lang w:val="ru-RU"/>
      </w:rPr>
      <w:t>2</w:t>
    </w:r>
    <w:bookmarkStart w:id="0" w:name="_GoBack"/>
    <w:bookmarkEnd w:id="0"/>
    <w:r w:rsidR="00DA187E">
      <w:rPr>
        <w:lang w:val="ru-RU"/>
      </w:rPr>
      <w:t>1</w:t>
    </w:r>
    <w:r w:rsidRPr="00600F86">
      <w:rPr>
        <w:lang w:val="ru-RU"/>
      </w:rPr>
      <w:t xml:space="preserve"> г.</w:t>
    </w:r>
    <w:r>
      <w:rPr>
        <w:lang w:val="ru-RU"/>
      </w:rPr>
      <w:tab/>
    </w:r>
    <w:r w:rsidR="001F3DB0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1F3DB0">
      <w:rPr>
        <w:lang w:val="ru-RU"/>
      </w:rPr>
      <w:fldChar w:fldCharType="separate"/>
    </w:r>
    <w:r w:rsidR="00340042">
      <w:rPr>
        <w:noProof/>
        <w:lang w:val="ru-RU"/>
      </w:rPr>
      <w:t>2</w:t>
    </w:r>
    <w:r w:rsidR="001F3DB0">
      <w:rPr>
        <w:lang w:val="ru-RU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2" w:rsidRDefault="0034004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E6" w:rsidRDefault="00C640E6" w:rsidP="00CF0C11">
      <w:pPr>
        <w:spacing w:before="0" w:after="0" w:line="240" w:lineRule="auto"/>
      </w:pPr>
      <w:r>
        <w:separator/>
      </w:r>
    </w:p>
  </w:footnote>
  <w:footnote w:type="continuationSeparator" w:id="1">
    <w:p w:rsidR="00C640E6" w:rsidRDefault="00C640E6" w:rsidP="00CF0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2" w:rsidRDefault="00340042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2" w:rsidRDefault="00340042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2" w:rsidRDefault="0034004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5BD5"/>
    <w:multiLevelType w:val="hybridMultilevel"/>
    <w:tmpl w:val="C43E0E7C"/>
    <w:lvl w:ilvl="0" w:tplc="F1A8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457F0"/>
    <w:multiLevelType w:val="hybridMultilevel"/>
    <w:tmpl w:val="53A08136"/>
    <w:lvl w:ilvl="0" w:tplc="549A2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84603"/>
    <w:multiLevelType w:val="hybridMultilevel"/>
    <w:tmpl w:val="3C60B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9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31"/>
  </w:num>
  <w:num w:numId="13">
    <w:abstractNumId w:val="5"/>
  </w:num>
  <w:num w:numId="14">
    <w:abstractNumId w:val="16"/>
  </w:num>
  <w:num w:numId="15">
    <w:abstractNumId w:val="22"/>
  </w:num>
  <w:num w:numId="16">
    <w:abstractNumId w:val="25"/>
  </w:num>
  <w:num w:numId="17">
    <w:abstractNumId w:val="24"/>
  </w:num>
  <w:num w:numId="18">
    <w:abstractNumId w:val="27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4"/>
  </w:num>
  <w:num w:numId="24">
    <w:abstractNumId w:val="18"/>
  </w:num>
  <w:num w:numId="25">
    <w:abstractNumId w:val="7"/>
  </w:num>
  <w:num w:numId="26">
    <w:abstractNumId w:val="28"/>
  </w:num>
  <w:num w:numId="27">
    <w:abstractNumId w:val="13"/>
  </w:num>
  <w:num w:numId="28">
    <w:abstractNumId w:val="2"/>
  </w:num>
  <w:num w:numId="29">
    <w:abstractNumId w:val="10"/>
  </w:num>
  <w:num w:numId="30">
    <w:abstractNumId w:val="8"/>
  </w:num>
  <w:num w:numId="31">
    <w:abstractNumId w:val="3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12488B"/>
    <w:rsid w:val="001271E4"/>
    <w:rsid w:val="00172189"/>
    <w:rsid w:val="00175C35"/>
    <w:rsid w:val="0018702E"/>
    <w:rsid w:val="00190561"/>
    <w:rsid w:val="00193E5A"/>
    <w:rsid w:val="00196464"/>
    <w:rsid w:val="001D1FCD"/>
    <w:rsid w:val="001F3DB0"/>
    <w:rsid w:val="00223261"/>
    <w:rsid w:val="002A3273"/>
    <w:rsid w:val="002C1301"/>
    <w:rsid w:val="002E0BC0"/>
    <w:rsid w:val="002E7790"/>
    <w:rsid w:val="003156E1"/>
    <w:rsid w:val="003176C8"/>
    <w:rsid w:val="00340042"/>
    <w:rsid w:val="003731CD"/>
    <w:rsid w:val="00394B7E"/>
    <w:rsid w:val="003B6B5A"/>
    <w:rsid w:val="003F27AB"/>
    <w:rsid w:val="003F7989"/>
    <w:rsid w:val="00415B2D"/>
    <w:rsid w:val="00475DA7"/>
    <w:rsid w:val="00495EDB"/>
    <w:rsid w:val="004D5BC3"/>
    <w:rsid w:val="00566342"/>
    <w:rsid w:val="005E0079"/>
    <w:rsid w:val="00600F86"/>
    <w:rsid w:val="006150D5"/>
    <w:rsid w:val="00635FFC"/>
    <w:rsid w:val="00664DB8"/>
    <w:rsid w:val="00687474"/>
    <w:rsid w:val="006F15A8"/>
    <w:rsid w:val="006F78ED"/>
    <w:rsid w:val="00720DD8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41043"/>
    <w:rsid w:val="008B05A6"/>
    <w:rsid w:val="008E2EC0"/>
    <w:rsid w:val="0090067C"/>
    <w:rsid w:val="00956C4C"/>
    <w:rsid w:val="009739DF"/>
    <w:rsid w:val="0097469A"/>
    <w:rsid w:val="00982FAB"/>
    <w:rsid w:val="0098574F"/>
    <w:rsid w:val="00986E9B"/>
    <w:rsid w:val="009A2AEB"/>
    <w:rsid w:val="00A53290"/>
    <w:rsid w:val="00A9428C"/>
    <w:rsid w:val="00AB549C"/>
    <w:rsid w:val="00AE3845"/>
    <w:rsid w:val="00B01997"/>
    <w:rsid w:val="00B166D1"/>
    <w:rsid w:val="00B618F7"/>
    <w:rsid w:val="00B66451"/>
    <w:rsid w:val="00BD03FB"/>
    <w:rsid w:val="00BE411D"/>
    <w:rsid w:val="00C2596D"/>
    <w:rsid w:val="00C557F7"/>
    <w:rsid w:val="00C640E6"/>
    <w:rsid w:val="00C77C15"/>
    <w:rsid w:val="00CE730C"/>
    <w:rsid w:val="00CF0C11"/>
    <w:rsid w:val="00CF52B5"/>
    <w:rsid w:val="00D24FA4"/>
    <w:rsid w:val="00D41EEC"/>
    <w:rsid w:val="00D76169"/>
    <w:rsid w:val="00DA187E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B32A-7B3B-4C8C-A78C-07463876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5</cp:revision>
  <cp:lastPrinted>2019-12-11T14:50:00Z</cp:lastPrinted>
  <dcterms:created xsi:type="dcterms:W3CDTF">2019-12-18T06:36:00Z</dcterms:created>
  <dcterms:modified xsi:type="dcterms:W3CDTF">2022-01-31T07:55:00Z</dcterms:modified>
</cp:coreProperties>
</file>